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810C7" w14:textId="77777777" w:rsidR="00AB59FB" w:rsidRDefault="00AB59FB" w:rsidP="00AB59FB">
      <w:pPr>
        <w:rPr>
          <w:b/>
        </w:rPr>
      </w:pPr>
      <w:bookmarkStart w:id="0" w:name="_GoBack"/>
      <w:bookmarkEnd w:id="0"/>
      <w:r>
        <w:rPr>
          <w:b/>
        </w:rPr>
        <w:t>INTRODUCTION</w:t>
      </w:r>
    </w:p>
    <w:p w14:paraId="51B88F8A" w14:textId="77777777" w:rsidR="00AB59FB" w:rsidRDefault="00AB59FB" w:rsidP="00AB59FB">
      <w:pPr>
        <w:rPr>
          <w:b/>
        </w:rPr>
      </w:pPr>
    </w:p>
    <w:p w14:paraId="306774AE" w14:textId="197C6E73" w:rsidR="00AB59FB" w:rsidRPr="00642C8D" w:rsidRDefault="00AB59FB" w:rsidP="00AB59FB">
      <w:pPr>
        <w:rPr>
          <w:strike/>
        </w:rPr>
      </w:pPr>
      <w:r>
        <w:t xml:space="preserve">We are committed to providing quality education based on equality of opportunity and access.  In practice this means that pupils have an entitlement to benefit from all education activities.  No charge can be made for admitting pupils to maintained schools.  </w:t>
      </w:r>
    </w:p>
    <w:p w14:paraId="0BF3FEFF" w14:textId="77777777" w:rsidR="007D6310" w:rsidRDefault="007D6310" w:rsidP="00AB59FB"/>
    <w:p w14:paraId="2A8A3090" w14:textId="77777777" w:rsidR="007D6310" w:rsidRDefault="007D6310" w:rsidP="00AB59FB">
      <w:r>
        <w:t xml:space="preserve">All activities, events and visits are designed to complement our curriculum and to support the development of the children in line with our stated educational aims and values.  Such events will be educational in content and closely linked to work being undertaken in the classroom within the boundaries of the National Curriculum.  They are programmed to take place at a time when maximum benefit to classroom activities can be achieved. </w:t>
      </w:r>
    </w:p>
    <w:p w14:paraId="1275D96F" w14:textId="77777777" w:rsidR="00F24E56" w:rsidRDefault="00F24E56" w:rsidP="00AB59FB"/>
    <w:p w14:paraId="4E2337FD" w14:textId="77777777" w:rsidR="00F24E56" w:rsidRDefault="00F24E56" w:rsidP="00AB59FB">
      <w:r>
        <w:t>The purpose of this Charging Policy is to describe how we will do our best to ensure a good range of activities and visits is offered whilst trying to minimise the financial barriers which may prevent some pupils from taking full advantage of these opportunities.</w:t>
      </w:r>
    </w:p>
    <w:p w14:paraId="3827B562" w14:textId="77777777" w:rsidR="00AB59FB" w:rsidRDefault="00AB59FB" w:rsidP="00AB59FB"/>
    <w:p w14:paraId="66664D96" w14:textId="21B1B768" w:rsidR="00AB59FB" w:rsidRDefault="00AB59FB" w:rsidP="00AB59FB">
      <w:r>
        <w:t xml:space="preserve">This charging policy has been compiled in line with </w:t>
      </w:r>
      <w:r w:rsidR="00F24E56">
        <w:t xml:space="preserve">Department of Education guidance issued in </w:t>
      </w:r>
      <w:r w:rsidR="00075E55">
        <w:t>May 2018</w:t>
      </w:r>
      <w:r w:rsidR="00F24E56">
        <w:t>, “Charging for School Activities”</w:t>
      </w:r>
      <w:r>
        <w:t>, and in accordance with Sections 449–462 of the Education Act 1996.</w:t>
      </w:r>
    </w:p>
    <w:p w14:paraId="7DBB5D4A" w14:textId="77777777" w:rsidR="00AB59FB" w:rsidRDefault="00AB59FB" w:rsidP="00AB59FB"/>
    <w:p w14:paraId="17F6CC02" w14:textId="77777777" w:rsidR="007D6310" w:rsidRDefault="007D6310" w:rsidP="00AB59FB">
      <w:pPr>
        <w:rPr>
          <w:b/>
        </w:rPr>
      </w:pPr>
      <w:r>
        <w:rPr>
          <w:b/>
        </w:rPr>
        <w:t>No charges will be made for:</w:t>
      </w:r>
    </w:p>
    <w:p w14:paraId="71FD2065" w14:textId="77777777" w:rsidR="007D6310" w:rsidRDefault="007D6310" w:rsidP="007D6310"/>
    <w:p w14:paraId="16D0C153" w14:textId="77777777" w:rsidR="008C1257" w:rsidRDefault="008C1257" w:rsidP="008C1257">
      <w:pPr>
        <w:numPr>
          <w:ilvl w:val="0"/>
          <w:numId w:val="3"/>
        </w:numPr>
      </w:pPr>
      <w:r>
        <w:t>Education provided during school hours (including the supply of any materials, books, instruments or other equipment);</w:t>
      </w:r>
    </w:p>
    <w:p w14:paraId="61953FBA" w14:textId="77777777" w:rsidR="008C1257" w:rsidRDefault="008C1257" w:rsidP="008C1257">
      <w:pPr>
        <w:numPr>
          <w:ilvl w:val="0"/>
          <w:numId w:val="3"/>
        </w:numPr>
      </w:pPr>
      <w:r>
        <w:t>Education provided outside school hours if it is part of the national curriculum, or part of a syllabus for a prescribed public examination that the pupil is being prepared for at the school, or part of religious education;</w:t>
      </w:r>
    </w:p>
    <w:p w14:paraId="35BAB3B7" w14:textId="77777777" w:rsidR="008C1257" w:rsidRDefault="008C1257" w:rsidP="008C1257">
      <w:pPr>
        <w:numPr>
          <w:ilvl w:val="0"/>
          <w:numId w:val="3"/>
        </w:numPr>
      </w:pPr>
      <w:r>
        <w:t>instrumental or vocal tuition, for pupils learning individually or in groups, unless the tuition is provided at the request of the pupil’s parent;</w:t>
      </w:r>
    </w:p>
    <w:p w14:paraId="568D3198" w14:textId="77777777" w:rsidR="008C1257" w:rsidRDefault="008C1257" w:rsidP="008C1257">
      <w:pPr>
        <w:numPr>
          <w:ilvl w:val="0"/>
          <w:numId w:val="3"/>
        </w:numPr>
      </w:pPr>
      <w:r>
        <w:t>entry for a prescribed public examination, if the pupil has been prepared for it at the school; and</w:t>
      </w:r>
    </w:p>
    <w:p w14:paraId="01B48451" w14:textId="77777777" w:rsidR="007D6310" w:rsidRPr="007D6310" w:rsidRDefault="008C1257" w:rsidP="008C1257">
      <w:pPr>
        <w:numPr>
          <w:ilvl w:val="0"/>
          <w:numId w:val="3"/>
        </w:numPr>
      </w:pPr>
      <w:r>
        <w:t>examination re-sit(s) if the pupil is being prepared for the re-sit(s) at the school</w:t>
      </w:r>
    </w:p>
    <w:p w14:paraId="0544C0B7" w14:textId="77777777" w:rsidR="007D6310" w:rsidRDefault="007D6310" w:rsidP="00AB59FB"/>
    <w:p w14:paraId="39A1E32E" w14:textId="77777777" w:rsidR="008C1257" w:rsidRDefault="008C1257" w:rsidP="00AB59FB">
      <w:r>
        <w:t>Charges may be made for:</w:t>
      </w:r>
    </w:p>
    <w:p w14:paraId="12953D1D" w14:textId="77777777" w:rsidR="008C1257" w:rsidRPr="007D6310" w:rsidRDefault="008C1257" w:rsidP="00AB59FB"/>
    <w:p w14:paraId="02562AD3" w14:textId="77777777" w:rsidR="00AB59FB" w:rsidRDefault="00AB59FB" w:rsidP="00AB59FB">
      <w:pPr>
        <w:rPr>
          <w:b/>
        </w:rPr>
      </w:pPr>
      <w:r>
        <w:rPr>
          <w:b/>
        </w:rPr>
        <w:t>Educational Visits</w:t>
      </w:r>
      <w:r w:rsidR="008C1257">
        <w:rPr>
          <w:b/>
        </w:rPr>
        <w:t xml:space="preserve"> and extra-curricular activities</w:t>
      </w:r>
    </w:p>
    <w:p w14:paraId="3EB5975A" w14:textId="39D5DCE9" w:rsidR="00AB59FB" w:rsidRDefault="00AB59FB" w:rsidP="00AB59FB">
      <w:r>
        <w:t>We believe that education and residential visits, and other extra</w:t>
      </w:r>
      <w:r w:rsidR="00075E55">
        <w:t>-</w:t>
      </w:r>
      <w:r>
        <w:t>curricular activities play an important part in the delivery of the National Curriculum and have a large impact on the children’s educational and social development.</w:t>
      </w:r>
    </w:p>
    <w:p w14:paraId="577C221A" w14:textId="77777777" w:rsidR="008C1257" w:rsidRDefault="008C1257" w:rsidP="00AB59FB">
      <w:r>
        <w:t xml:space="preserve">However, </w:t>
      </w:r>
      <w:r w:rsidRPr="008C1257">
        <w:t xml:space="preserve">it is not </w:t>
      </w:r>
      <w:r>
        <w:t xml:space="preserve">always </w:t>
      </w:r>
      <w:r w:rsidRPr="008C1257">
        <w:t>possible to cover these additional activities within the resources ordinarily available to the school</w:t>
      </w:r>
      <w:r>
        <w:t xml:space="preserve"> and so a</w:t>
      </w:r>
      <w:r w:rsidRPr="008C1257">
        <w:t xml:space="preserve"> voluntary contribution may be requested</w:t>
      </w:r>
      <w:r>
        <w:t xml:space="preserve"> for such activities.  Pupils will not be treated differently according to whether or not their parents have made any contribution in response to the request </w:t>
      </w:r>
      <w:r>
        <w:lastRenderedPageBreak/>
        <w:t>or invitation.</w:t>
      </w:r>
      <w:r w:rsidR="00A65FD9">
        <w:t xml:space="preserve">  In the event that there are not be enough voluntary contributions to make the activity possible, then it may be cancelled.</w:t>
      </w:r>
    </w:p>
    <w:p w14:paraId="50351816" w14:textId="77777777" w:rsidR="00AB59FB" w:rsidRDefault="00AB59FB" w:rsidP="00AB59FB"/>
    <w:p w14:paraId="1FE9D943" w14:textId="77777777" w:rsidR="00AB59FB" w:rsidRDefault="00AB59FB" w:rsidP="00AB59FB">
      <w:pPr>
        <w:rPr>
          <w:b/>
        </w:rPr>
      </w:pPr>
      <w:r>
        <w:rPr>
          <w:b/>
        </w:rPr>
        <w:t>In School Hours Educational Opportunities</w:t>
      </w:r>
    </w:p>
    <w:p w14:paraId="6940ADF0" w14:textId="77777777" w:rsidR="00AB59FB" w:rsidRDefault="00AB59FB" w:rsidP="00AB59FB">
      <w:r>
        <w:t>We believe that young children derive great pleasure from visits out of school, visits to school by speakers, entertainers and in-house activities.  Such activities enrich the curriculum and enable the children to learn from first hand experiences.  The school will arrange activities of this nature.  No charge is made for these activities, although voluntary contributions may be sought from the parents.  From time to time c</w:t>
      </w:r>
      <w:r w:rsidR="00D64261">
        <w:t xml:space="preserve">hildren may use the cooking and art &amp; </w:t>
      </w:r>
      <w:r>
        <w:t>technology facilities within the school.  Where an item is to be taken home, a small voluntary contribution may be requested.</w:t>
      </w:r>
    </w:p>
    <w:p w14:paraId="715DBEC7" w14:textId="77777777" w:rsidR="00AB59FB" w:rsidRDefault="00AB59FB" w:rsidP="00AB59FB"/>
    <w:p w14:paraId="346CDC65" w14:textId="77777777" w:rsidR="00AB59FB" w:rsidRDefault="00AB59FB" w:rsidP="00AB59FB">
      <w:pPr>
        <w:rPr>
          <w:b/>
        </w:rPr>
      </w:pPr>
      <w:r>
        <w:rPr>
          <w:b/>
        </w:rPr>
        <w:t>Residential Activities</w:t>
      </w:r>
    </w:p>
    <w:p w14:paraId="4F4FCB28" w14:textId="77777777" w:rsidR="00A65FD9" w:rsidRDefault="00AB59FB" w:rsidP="00AB59FB">
      <w:r>
        <w:t xml:space="preserve">All of our residential activities take place largely during school time or are connected to the National Curriculum.  In these instances no charge may be made either for the educational activities or for the cost of travel.  However, charges will be made for board and lodgings.  </w:t>
      </w:r>
    </w:p>
    <w:p w14:paraId="4331ADC6" w14:textId="77777777" w:rsidR="00103E40" w:rsidRDefault="00103E40" w:rsidP="00AB59FB">
      <w:pPr>
        <w:rPr>
          <w:b/>
          <w:i/>
        </w:rPr>
      </w:pPr>
    </w:p>
    <w:p w14:paraId="63E46283" w14:textId="77777777" w:rsidR="00A65FD9" w:rsidRPr="00A65FD9" w:rsidRDefault="00A65FD9" w:rsidP="00AB59FB">
      <w:pPr>
        <w:rPr>
          <w:b/>
          <w:i/>
        </w:rPr>
      </w:pPr>
      <w:r w:rsidRPr="00A65FD9">
        <w:rPr>
          <w:b/>
          <w:i/>
        </w:rPr>
        <w:t>However pupils whose parents are in receipt of certain benefits (see Remissions below) may not be charged for trips or extra-curricular activities and board and lodging costs.</w:t>
      </w:r>
    </w:p>
    <w:p w14:paraId="4BA436C6" w14:textId="77777777" w:rsidR="00AB59FB" w:rsidRDefault="00AB59FB" w:rsidP="00AB59FB"/>
    <w:p w14:paraId="75D61514" w14:textId="77777777" w:rsidR="00AB59FB" w:rsidRDefault="00AB59FB" w:rsidP="00AB59FB">
      <w:r>
        <w:t>Parent</w:t>
      </w:r>
      <w:r w:rsidR="002F0017">
        <w:t>s</w:t>
      </w:r>
      <w:r>
        <w:t xml:space="preserve"> will be asked to make a voluntary contribution towards the educational and travel costs of the residential visit.  The head teacher will</w:t>
      </w:r>
      <w:r w:rsidR="002F0017">
        <w:t>,</w:t>
      </w:r>
      <w:r>
        <w:t xml:space="preserve"> however</w:t>
      </w:r>
      <w:r w:rsidR="002F0017">
        <w:t>,</w:t>
      </w:r>
      <w:r>
        <w:t xml:space="preserve"> advise all parents of the right for exemption from all charges if they are receiving the benefits in the Remission section below.</w:t>
      </w:r>
    </w:p>
    <w:p w14:paraId="30F3A796" w14:textId="77777777" w:rsidR="00AB59FB" w:rsidRDefault="00AB59FB" w:rsidP="00AB59FB"/>
    <w:p w14:paraId="0E710122" w14:textId="77777777" w:rsidR="00AB59FB" w:rsidRPr="00A65FD9" w:rsidRDefault="00AB59FB" w:rsidP="00AB59FB">
      <w:pPr>
        <w:rPr>
          <w:b/>
          <w:i/>
        </w:rPr>
      </w:pPr>
      <w:r w:rsidRPr="00A65FD9">
        <w:rPr>
          <w:b/>
          <w:i/>
        </w:rPr>
        <w:t>The external Board of Trustees for Andrews Endowed School may consider hardship cases on an individual basis.  Please see the head teacher for further information.</w:t>
      </w:r>
    </w:p>
    <w:p w14:paraId="20452E73" w14:textId="77777777" w:rsidR="00AB59FB" w:rsidRDefault="00AB59FB" w:rsidP="00AB59FB"/>
    <w:p w14:paraId="1913B4FE" w14:textId="77777777" w:rsidR="00AB59FB" w:rsidRDefault="00AB59FB" w:rsidP="00AB59FB"/>
    <w:p w14:paraId="24132521" w14:textId="77777777" w:rsidR="00AB59FB" w:rsidRDefault="00AB59FB" w:rsidP="00AB59FB">
      <w:pPr>
        <w:rPr>
          <w:b/>
        </w:rPr>
      </w:pPr>
      <w:r>
        <w:rPr>
          <w:b/>
        </w:rPr>
        <w:t xml:space="preserve">Musical Instrument Tuition </w:t>
      </w:r>
      <w:r w:rsidR="00E52C2C">
        <w:rPr>
          <w:b/>
        </w:rPr>
        <w:t>(KS2 only)</w:t>
      </w:r>
    </w:p>
    <w:p w14:paraId="0D8426F4" w14:textId="16AB28B2" w:rsidR="00AB59FB" w:rsidRDefault="00AB59FB" w:rsidP="00AB59FB">
      <w:r>
        <w:t xml:space="preserve">Charges are made for teaching either an individual pupil or small groups to play a musical instrument if the teaching is not an essential part of the National Curriculum.  </w:t>
      </w:r>
      <w:r w:rsidR="00882C09">
        <w:t>The school uses the Hampshire Music Service to provide this tuition</w:t>
      </w:r>
      <w:r w:rsidR="00882C09" w:rsidRPr="00642C8D">
        <w:t xml:space="preserve">.  </w:t>
      </w:r>
      <w:r w:rsidRPr="00642C8D">
        <w:t>At the start of each school year, the head teacher will advise all parents that the cost o</w:t>
      </w:r>
      <w:r w:rsidR="00D64261" w:rsidRPr="00642C8D">
        <w:t>f musical instrument tuition may</w:t>
      </w:r>
      <w:r w:rsidRPr="00642C8D">
        <w:t xml:space="preserve"> be met by the school if they are receiving those benefits listed in the Remissions section.  </w:t>
      </w:r>
      <w:r w:rsidR="00D64261" w:rsidRPr="00642C8D">
        <w:t xml:space="preserve">The current </w:t>
      </w:r>
      <w:r w:rsidR="003205FC">
        <w:t>cost of music lessons in school, provided by the Hampshire Music Service is £187 per annum.  £100 is due during the Autumn Term and the balance of £87.50 during the Spring Term.</w:t>
      </w:r>
      <w:r w:rsidR="00D64261">
        <w:t xml:space="preserve"> </w:t>
      </w:r>
    </w:p>
    <w:p w14:paraId="38F89089" w14:textId="77777777" w:rsidR="00AB59FB" w:rsidRDefault="00AB59FB" w:rsidP="00AB59FB"/>
    <w:p w14:paraId="32CD9C08" w14:textId="77777777" w:rsidR="00882C09" w:rsidRDefault="00882C09" w:rsidP="00AB59FB"/>
    <w:p w14:paraId="14E7A498" w14:textId="47547283" w:rsidR="00AB59FB" w:rsidRDefault="00447D9D" w:rsidP="00AB59FB">
      <w:pPr>
        <w:rPr>
          <w:b/>
        </w:rPr>
      </w:pPr>
      <w:r>
        <w:rPr>
          <w:b/>
        </w:rPr>
        <w:t xml:space="preserve">Activity </w:t>
      </w:r>
      <w:r w:rsidR="00AB59FB">
        <w:rPr>
          <w:b/>
        </w:rPr>
        <w:t>Clubs (Lunchtime and After School)</w:t>
      </w:r>
    </w:p>
    <w:p w14:paraId="15A20BDA" w14:textId="77777777" w:rsidR="00AB59FB" w:rsidRDefault="00AB59FB" w:rsidP="00AB59FB">
      <w:r>
        <w:t xml:space="preserve">The school offers a number of activities which are not part of the curriculum.  We </w:t>
      </w:r>
      <w:r w:rsidR="00D64261">
        <w:t xml:space="preserve">may </w:t>
      </w:r>
      <w:r>
        <w:t xml:space="preserve">make a small charge to cover </w:t>
      </w:r>
      <w:r w:rsidR="00A65FD9">
        <w:t xml:space="preserve">the </w:t>
      </w:r>
      <w:r>
        <w:t>additional costs of running these</w:t>
      </w:r>
      <w:r w:rsidR="00A65FD9">
        <w:t xml:space="preserve"> on a sustain</w:t>
      </w:r>
      <w:r w:rsidR="00C804EE">
        <w:t>able basis</w:t>
      </w:r>
      <w:r>
        <w:t>.  Clubs offered by external agencies are charged for directly by thos</w:t>
      </w:r>
      <w:r w:rsidR="00C804EE">
        <w:t>e providers.</w:t>
      </w:r>
    </w:p>
    <w:p w14:paraId="04AD5941" w14:textId="77777777" w:rsidR="00882C09" w:rsidRDefault="00882C09" w:rsidP="00AB59FB"/>
    <w:p w14:paraId="0945C8CA" w14:textId="0DB9E1B0" w:rsidR="00882C09" w:rsidRPr="00642C8D" w:rsidRDefault="00882C09" w:rsidP="00AB59FB">
      <w:pPr>
        <w:rPr>
          <w:b/>
        </w:rPr>
      </w:pPr>
      <w:r w:rsidRPr="00642C8D">
        <w:rPr>
          <w:b/>
        </w:rPr>
        <w:t>Wrap-Around Care</w:t>
      </w:r>
      <w:r>
        <w:rPr>
          <w:b/>
        </w:rPr>
        <w:t xml:space="preserve"> – Breakfast and After School </w:t>
      </w:r>
      <w:r w:rsidR="00447D9D">
        <w:rPr>
          <w:b/>
        </w:rPr>
        <w:t>Care Provision</w:t>
      </w:r>
    </w:p>
    <w:p w14:paraId="1D58A5B5" w14:textId="465D374B" w:rsidR="005D2DFF" w:rsidRDefault="005D2DFF" w:rsidP="005D2DFF">
      <w:r>
        <w:t xml:space="preserve">The school offers breakfast and after school clubs which </w:t>
      </w:r>
      <w:r w:rsidR="00447D9D">
        <w:t>provide care provision beyond the standard school day. These are fundamentally different in nature to activity based clubs and as such the charging will be based on a number of factors including, but not limited to</w:t>
      </w:r>
      <w:r w:rsidR="00252CBE">
        <w:t>:</w:t>
      </w:r>
      <w:r w:rsidR="00447D9D">
        <w:t xml:space="preserve"> </w:t>
      </w:r>
      <w:r w:rsidR="00252CBE">
        <w:t>prices</w:t>
      </w:r>
      <w:r w:rsidR="00447D9D">
        <w:t xml:space="preserve"> for comparable provision </w:t>
      </w:r>
      <w:r w:rsidR="00252CBE">
        <w:t xml:space="preserve">elsewhere </w:t>
      </w:r>
      <w:r w:rsidR="00447D9D">
        <w:t xml:space="preserve">and </w:t>
      </w:r>
      <w:r w:rsidR="00252CBE">
        <w:t xml:space="preserve">the full </w:t>
      </w:r>
      <w:r w:rsidR="00447D9D">
        <w:t xml:space="preserve">cost of </w:t>
      </w:r>
      <w:r w:rsidR="00252CBE">
        <w:t>provision on a sustainable basis</w:t>
      </w:r>
      <w:r w:rsidR="00447D9D">
        <w:t xml:space="preserve">. </w:t>
      </w:r>
      <w:r w:rsidR="00252CBE">
        <w:t>Charges</w:t>
      </w:r>
      <w:r w:rsidR="00447D9D">
        <w:t xml:space="preserve"> will be reviewed on a regular basis and communicated in advance</w:t>
      </w:r>
      <w:r w:rsidR="00252CBE">
        <w:t xml:space="preserve"> of any change.</w:t>
      </w:r>
    </w:p>
    <w:p w14:paraId="5534AD5F" w14:textId="77777777" w:rsidR="00AB59FB" w:rsidRPr="005E3E98" w:rsidRDefault="00AB59FB" w:rsidP="00AB59FB"/>
    <w:p w14:paraId="60EBF3FF" w14:textId="77777777" w:rsidR="00AB59FB" w:rsidRDefault="00AB59FB" w:rsidP="00AB59FB">
      <w:pPr>
        <w:rPr>
          <w:b/>
        </w:rPr>
      </w:pPr>
      <w:r>
        <w:rPr>
          <w:b/>
        </w:rPr>
        <w:t>Letting of School Facilities</w:t>
      </w:r>
    </w:p>
    <w:p w14:paraId="56FC5959" w14:textId="77777777" w:rsidR="00AB59FB" w:rsidRDefault="00AB59FB" w:rsidP="00AB59FB">
      <w:r>
        <w:t xml:space="preserve">Our charges for letting/hire of school facilities are in line with those as recommended by Hampshire County Council.  This information is available in our </w:t>
      </w:r>
      <w:r w:rsidRPr="007C0D3B">
        <w:t>separate Lettings Policy.</w:t>
      </w:r>
    </w:p>
    <w:p w14:paraId="29FC91C3" w14:textId="77777777" w:rsidR="00AB59FB" w:rsidRDefault="00AB59FB" w:rsidP="00AB59FB"/>
    <w:p w14:paraId="5970A4EE" w14:textId="77777777" w:rsidR="00AB59FB" w:rsidRDefault="00AB59FB" w:rsidP="00AB59FB">
      <w:pPr>
        <w:rPr>
          <w:b/>
        </w:rPr>
      </w:pPr>
      <w:r>
        <w:rPr>
          <w:b/>
        </w:rPr>
        <w:t>Damage/Lost Property</w:t>
      </w:r>
    </w:p>
    <w:p w14:paraId="5174160D" w14:textId="77777777" w:rsidR="002F0017" w:rsidRDefault="00AB59FB" w:rsidP="00AB59FB">
      <w:r>
        <w:t xml:space="preserve">A charge may be levied in respect of wilful damage, neglect or loss of property (including premises, furniture, </w:t>
      </w:r>
      <w:r w:rsidR="002F0017">
        <w:t xml:space="preserve">equipment, books or materials). </w:t>
      </w:r>
      <w:r>
        <w:t xml:space="preserve">The charge to be the cost of replacement or repair or such lower cost as the head teacher may decide. </w:t>
      </w:r>
    </w:p>
    <w:p w14:paraId="6D7ED786" w14:textId="77777777" w:rsidR="00AB59FB" w:rsidRDefault="00AB59FB" w:rsidP="00AB59FB"/>
    <w:p w14:paraId="361F119D" w14:textId="77777777" w:rsidR="00AB59FB" w:rsidRDefault="00AB59FB" w:rsidP="00AB59FB">
      <w:pPr>
        <w:rPr>
          <w:b/>
        </w:rPr>
      </w:pPr>
      <w:r>
        <w:rPr>
          <w:b/>
        </w:rPr>
        <w:t>Other Charges</w:t>
      </w:r>
    </w:p>
    <w:p w14:paraId="60F37718" w14:textId="77777777" w:rsidR="00AB59FB" w:rsidRPr="00C804EE" w:rsidRDefault="00AB59FB" w:rsidP="00AB59FB">
      <w:r>
        <w:t xml:space="preserve">The governing body may levy charges for miscellaneous services up to the cost providing such services which will be agreed in advance.  An example of this is requests for information under the Freedom of Information Act 2000, not contained within the school’s publication scheme. </w:t>
      </w:r>
    </w:p>
    <w:p w14:paraId="772CC35C" w14:textId="77777777" w:rsidR="00C804EE" w:rsidRDefault="00C804EE" w:rsidP="00AB59FB">
      <w:pPr>
        <w:rPr>
          <w:b/>
        </w:rPr>
      </w:pPr>
    </w:p>
    <w:p w14:paraId="0B4F92FE" w14:textId="77777777" w:rsidR="00C804EE" w:rsidRPr="00C804EE" w:rsidRDefault="00C804EE" w:rsidP="00C804EE">
      <w:pPr>
        <w:rPr>
          <w:b/>
        </w:rPr>
      </w:pPr>
      <w:r>
        <w:rPr>
          <w:b/>
        </w:rPr>
        <w:t>Remissions</w:t>
      </w:r>
    </w:p>
    <w:p w14:paraId="06C6C36A" w14:textId="77777777" w:rsidR="00C804EE" w:rsidRPr="00C804EE" w:rsidRDefault="00C804EE" w:rsidP="00C804EE">
      <w:r w:rsidRPr="00C804EE">
        <w:t>Parents are requested to meet with the head teacher to discuss financial suppo</w:t>
      </w:r>
      <w:r>
        <w:t>rt.</w:t>
      </w:r>
      <w:r w:rsidRPr="00C804EE">
        <w:t xml:space="preserve"> This remissions policy sets out the circumstances in which charges will be waived and/or subsidised.</w:t>
      </w:r>
    </w:p>
    <w:p w14:paraId="12436246" w14:textId="77777777" w:rsidR="00103E40" w:rsidRDefault="00103E40" w:rsidP="00C804EE"/>
    <w:p w14:paraId="3E1DC3B6" w14:textId="7AC3EA4A" w:rsidR="00C804EE" w:rsidRPr="007F6DDF" w:rsidRDefault="00C804EE" w:rsidP="00C804EE">
      <w:r w:rsidRPr="007F6DDF">
        <w:t>The criteria for remission are given below:</w:t>
      </w:r>
    </w:p>
    <w:p w14:paraId="08BAAA52" w14:textId="77777777" w:rsidR="006609C6" w:rsidRPr="0086418B" w:rsidRDefault="006609C6" w:rsidP="00C804EE">
      <w:pPr>
        <w:rPr>
          <w:sz w:val="22"/>
          <w:szCs w:val="22"/>
        </w:rPr>
      </w:pPr>
      <w:r w:rsidRPr="0086418B">
        <w:rPr>
          <w:sz w:val="22"/>
          <w:szCs w:val="22"/>
        </w:rPr>
        <w:t>.</w:t>
      </w:r>
    </w:p>
    <w:p w14:paraId="4900127E" w14:textId="667D0DB5" w:rsidR="006609C6" w:rsidRPr="007F6DDF" w:rsidRDefault="006609C6" w:rsidP="0086418B">
      <w:pPr>
        <w:pStyle w:val="ListParagraph"/>
        <w:numPr>
          <w:ilvl w:val="0"/>
          <w:numId w:val="8"/>
        </w:numPr>
      </w:pPr>
      <w:r w:rsidRPr="007F6DDF">
        <w:t>If the parent/guardian of a pupil is in receipt of:-</w:t>
      </w:r>
    </w:p>
    <w:p w14:paraId="74149694" w14:textId="77777777" w:rsidR="009E008D" w:rsidRPr="00105C57" w:rsidRDefault="009E008D" w:rsidP="009E008D">
      <w:pPr>
        <w:numPr>
          <w:ilvl w:val="0"/>
          <w:numId w:val="11"/>
        </w:numPr>
        <w:shd w:val="clear" w:color="auto" w:fill="FFFFFF"/>
        <w:spacing w:before="100" w:beforeAutospacing="1" w:after="100" w:afterAutospacing="1"/>
        <w:rPr>
          <w:rFonts w:ascii="Open Sans" w:hAnsi="Open Sans" w:cs="Open Sans"/>
          <w:color w:val="000000"/>
          <w:sz w:val="23"/>
          <w:szCs w:val="23"/>
        </w:rPr>
      </w:pPr>
      <w:r w:rsidRPr="00105C57">
        <w:rPr>
          <w:rFonts w:ascii="Open Sans" w:hAnsi="Open Sans" w:cs="Open Sans"/>
          <w:color w:val="000000"/>
          <w:sz w:val="23"/>
          <w:szCs w:val="23"/>
        </w:rPr>
        <w:t>Income Support</w:t>
      </w:r>
    </w:p>
    <w:p w14:paraId="54E1B050" w14:textId="77777777" w:rsidR="009E008D" w:rsidRPr="00105C57" w:rsidRDefault="009E008D" w:rsidP="009E008D">
      <w:pPr>
        <w:numPr>
          <w:ilvl w:val="0"/>
          <w:numId w:val="11"/>
        </w:numPr>
        <w:shd w:val="clear" w:color="auto" w:fill="FFFFFF"/>
        <w:spacing w:before="100" w:beforeAutospacing="1" w:after="100" w:afterAutospacing="1"/>
        <w:rPr>
          <w:rFonts w:ascii="Open Sans" w:hAnsi="Open Sans" w:cs="Open Sans"/>
          <w:color w:val="000000"/>
          <w:sz w:val="23"/>
          <w:szCs w:val="23"/>
        </w:rPr>
      </w:pPr>
      <w:r w:rsidRPr="00105C57">
        <w:rPr>
          <w:rFonts w:ascii="Open Sans" w:hAnsi="Open Sans" w:cs="Open Sans"/>
          <w:color w:val="000000"/>
          <w:sz w:val="23"/>
          <w:szCs w:val="23"/>
        </w:rPr>
        <w:t>Income Based Job Seekers Allowance</w:t>
      </w:r>
    </w:p>
    <w:p w14:paraId="7135D356" w14:textId="77777777" w:rsidR="009E008D" w:rsidRPr="00105C57" w:rsidRDefault="009E008D" w:rsidP="009E008D">
      <w:pPr>
        <w:numPr>
          <w:ilvl w:val="0"/>
          <w:numId w:val="11"/>
        </w:numPr>
        <w:shd w:val="clear" w:color="auto" w:fill="FFFFFF"/>
        <w:spacing w:before="100" w:beforeAutospacing="1" w:after="100" w:afterAutospacing="1"/>
        <w:rPr>
          <w:rFonts w:ascii="Open Sans" w:hAnsi="Open Sans" w:cs="Open Sans"/>
          <w:color w:val="000000"/>
          <w:sz w:val="23"/>
          <w:szCs w:val="23"/>
        </w:rPr>
      </w:pPr>
      <w:r w:rsidRPr="00105C57">
        <w:rPr>
          <w:rFonts w:ascii="Open Sans" w:hAnsi="Open Sans" w:cs="Open Sans"/>
          <w:color w:val="000000"/>
          <w:sz w:val="23"/>
          <w:szCs w:val="23"/>
        </w:rPr>
        <w:t>Child Tax Credit Only (with income up to £16,190) with no element of Working Tax Credit</w:t>
      </w:r>
    </w:p>
    <w:p w14:paraId="38F9881F" w14:textId="77777777" w:rsidR="009E008D" w:rsidRPr="00105C57" w:rsidRDefault="009E008D" w:rsidP="009E008D">
      <w:pPr>
        <w:numPr>
          <w:ilvl w:val="0"/>
          <w:numId w:val="11"/>
        </w:numPr>
        <w:shd w:val="clear" w:color="auto" w:fill="FFFFFF"/>
        <w:spacing w:before="100" w:beforeAutospacing="1" w:after="100" w:afterAutospacing="1"/>
        <w:rPr>
          <w:rFonts w:ascii="Open Sans" w:hAnsi="Open Sans" w:cs="Open Sans"/>
          <w:color w:val="000000"/>
          <w:sz w:val="23"/>
          <w:szCs w:val="23"/>
        </w:rPr>
      </w:pPr>
      <w:r w:rsidRPr="00105C57">
        <w:rPr>
          <w:rFonts w:ascii="Open Sans" w:hAnsi="Open Sans" w:cs="Open Sans"/>
          <w:color w:val="000000"/>
          <w:sz w:val="23"/>
          <w:szCs w:val="23"/>
        </w:rPr>
        <w:t>National Asylum Seekers Support</w:t>
      </w:r>
    </w:p>
    <w:p w14:paraId="57E7ED18" w14:textId="77777777" w:rsidR="009E008D" w:rsidRPr="00105C57" w:rsidRDefault="009E008D" w:rsidP="009E008D">
      <w:pPr>
        <w:numPr>
          <w:ilvl w:val="0"/>
          <w:numId w:val="11"/>
        </w:numPr>
        <w:shd w:val="clear" w:color="auto" w:fill="FFFFFF"/>
        <w:spacing w:before="100" w:beforeAutospacing="1" w:after="100" w:afterAutospacing="1"/>
        <w:rPr>
          <w:rFonts w:ascii="Open Sans" w:hAnsi="Open Sans" w:cs="Open Sans"/>
          <w:color w:val="000000"/>
          <w:sz w:val="23"/>
          <w:szCs w:val="23"/>
        </w:rPr>
      </w:pPr>
      <w:r w:rsidRPr="00105C57">
        <w:rPr>
          <w:rFonts w:ascii="Open Sans" w:hAnsi="Open Sans" w:cs="Open Sans"/>
          <w:color w:val="000000"/>
          <w:sz w:val="23"/>
          <w:szCs w:val="23"/>
        </w:rPr>
        <w:t>Guarantee Element of the State Pension Credit</w:t>
      </w:r>
    </w:p>
    <w:p w14:paraId="777F97C5" w14:textId="77777777" w:rsidR="009E008D" w:rsidRPr="00105C57" w:rsidRDefault="009E008D" w:rsidP="009E008D">
      <w:pPr>
        <w:numPr>
          <w:ilvl w:val="0"/>
          <w:numId w:val="11"/>
        </w:numPr>
        <w:shd w:val="clear" w:color="auto" w:fill="FFFFFF"/>
        <w:spacing w:before="100" w:beforeAutospacing="1" w:after="100" w:afterAutospacing="1"/>
        <w:rPr>
          <w:rFonts w:ascii="Open Sans" w:hAnsi="Open Sans" w:cs="Open Sans"/>
          <w:color w:val="000000"/>
          <w:sz w:val="23"/>
          <w:szCs w:val="23"/>
        </w:rPr>
      </w:pPr>
      <w:r w:rsidRPr="00105C57">
        <w:rPr>
          <w:rFonts w:ascii="Open Sans" w:hAnsi="Open Sans" w:cs="Open Sans"/>
          <w:color w:val="000000"/>
          <w:sz w:val="23"/>
          <w:szCs w:val="23"/>
        </w:rPr>
        <w:t>Employment and Support Allowance (income related)</w:t>
      </w:r>
    </w:p>
    <w:p w14:paraId="74EE498A" w14:textId="77777777" w:rsidR="009E008D" w:rsidRPr="00105C57" w:rsidRDefault="009E008D" w:rsidP="009E008D">
      <w:pPr>
        <w:numPr>
          <w:ilvl w:val="0"/>
          <w:numId w:val="11"/>
        </w:numPr>
        <w:shd w:val="clear" w:color="auto" w:fill="FFFFFF"/>
        <w:spacing w:before="100" w:beforeAutospacing="1" w:after="100" w:afterAutospacing="1"/>
        <w:rPr>
          <w:rFonts w:ascii="Open Sans" w:hAnsi="Open Sans" w:cs="Open Sans"/>
          <w:color w:val="000000"/>
          <w:sz w:val="23"/>
          <w:szCs w:val="23"/>
        </w:rPr>
      </w:pPr>
      <w:r w:rsidRPr="00105C57">
        <w:rPr>
          <w:rFonts w:ascii="Open Sans" w:hAnsi="Open Sans" w:cs="Open Sans"/>
          <w:color w:val="000000"/>
          <w:sz w:val="23"/>
          <w:szCs w:val="23"/>
        </w:rPr>
        <w:t>Universal Credit (income dependant)</w:t>
      </w:r>
    </w:p>
    <w:p w14:paraId="241390E9" w14:textId="77777777" w:rsidR="006609C6" w:rsidRPr="007F6DDF" w:rsidRDefault="006609C6" w:rsidP="00C804EE"/>
    <w:p w14:paraId="18DD4276" w14:textId="68218CCF" w:rsidR="00C804EE" w:rsidRPr="00C804EE" w:rsidRDefault="00C804EE" w:rsidP="0086418B">
      <w:pPr>
        <w:pStyle w:val="ListParagraph"/>
        <w:numPr>
          <w:ilvl w:val="0"/>
          <w:numId w:val="8"/>
        </w:numPr>
      </w:pPr>
      <w:r w:rsidRPr="00C804EE">
        <w:t>In exceptional circumstances where the financial circumstances of a family is difficult</w:t>
      </w:r>
      <w:r w:rsidR="00E0422B">
        <w:t>,</w:t>
      </w:r>
      <w:r w:rsidR="00103E40">
        <w:t xml:space="preserve"> at the discretion of the head teacher.</w:t>
      </w:r>
    </w:p>
    <w:p w14:paraId="7B4B68ED" w14:textId="77777777" w:rsidR="00AB59FB" w:rsidRDefault="00AB59FB" w:rsidP="00AB59FB"/>
    <w:p w14:paraId="170557EB" w14:textId="77777777" w:rsidR="00103E40" w:rsidRPr="00103E40" w:rsidRDefault="00103E40" w:rsidP="00103E40">
      <w:pPr>
        <w:pStyle w:val="Default"/>
        <w:rPr>
          <w:rFonts w:ascii="Arial" w:hAnsi="Arial" w:cs="Arial"/>
          <w:b/>
          <w:color w:val="auto"/>
        </w:rPr>
      </w:pPr>
      <w:r w:rsidRPr="00103E40">
        <w:rPr>
          <w:rFonts w:ascii="Arial" w:hAnsi="Arial" w:cs="Arial"/>
          <w:b/>
          <w:color w:val="auto"/>
        </w:rPr>
        <w:lastRenderedPageBreak/>
        <w:t xml:space="preserve">Additional Considerations </w:t>
      </w:r>
    </w:p>
    <w:p w14:paraId="430A83C0" w14:textId="77777777" w:rsidR="00AB59FB" w:rsidRDefault="00103E40" w:rsidP="00103E40">
      <w:r w:rsidRPr="00103E40">
        <w:t>The Governing Body recognises its responsibility to ensure that the offer of activities and educational visits does not place an unnecessary burden on family finances. To this end we will aim to adhere to the following guidelines:</w:t>
      </w:r>
    </w:p>
    <w:p w14:paraId="056D2B21" w14:textId="77777777" w:rsidR="00103E40" w:rsidRDefault="00103E40" w:rsidP="00103E40">
      <w:pPr>
        <w:numPr>
          <w:ilvl w:val="0"/>
          <w:numId w:val="5"/>
        </w:numPr>
      </w:pPr>
      <w:r>
        <w:t>Charges for activities will not exceed the actual cost</w:t>
      </w:r>
    </w:p>
    <w:p w14:paraId="481C4450" w14:textId="77777777" w:rsidR="00103E40" w:rsidRDefault="00103E40" w:rsidP="00103E40">
      <w:pPr>
        <w:numPr>
          <w:ilvl w:val="0"/>
          <w:numId w:val="5"/>
        </w:numPr>
      </w:pPr>
      <w:r>
        <w:t>Charges wi</w:t>
      </w:r>
      <w:r w:rsidR="009232CB">
        <w:t>ll not include any subsidies for</w:t>
      </w:r>
      <w:r>
        <w:t xml:space="preserve"> any other pupils wishing to participate in an activity whose parents are unwilling or unable to pay the full charge</w:t>
      </w:r>
    </w:p>
    <w:p w14:paraId="7F759B28" w14:textId="77777777" w:rsidR="00103E40" w:rsidRDefault="00103E40" w:rsidP="00103E40">
      <w:pPr>
        <w:numPr>
          <w:ilvl w:val="0"/>
          <w:numId w:val="5"/>
        </w:numPr>
      </w:pPr>
      <w:r>
        <w:t>The school will on occasion ask for ‘voluntary contributions’ to make cer</w:t>
      </w:r>
      <w:r w:rsidR="007C0D3B">
        <w:t>t</w:t>
      </w:r>
      <w:r>
        <w:t>ain events viable, as outlined above, but parents are not obliged to pay this</w:t>
      </w:r>
    </w:p>
    <w:p w14:paraId="4FB3E998" w14:textId="77777777" w:rsidR="00103E40" w:rsidRPr="0013625E" w:rsidRDefault="00103E40" w:rsidP="00AB59FB"/>
    <w:p w14:paraId="441545FC" w14:textId="77777777" w:rsidR="00647072" w:rsidRDefault="00103E40" w:rsidP="00172467">
      <w:r w:rsidRPr="00103E40">
        <w:t>This charging policy has been compiled in line with Hampshire County Council guidelines, Department of Education Guidance and in accordance with s457 of the 1996 Education Act.</w:t>
      </w:r>
    </w:p>
    <w:p w14:paraId="7F2A9F3F" w14:textId="77777777" w:rsidR="00647072" w:rsidRDefault="00647072" w:rsidP="00172467"/>
    <w:p w14:paraId="212C37C3" w14:textId="075311A0" w:rsidR="00647072" w:rsidRDefault="00647072" w:rsidP="00172467"/>
    <w:p w14:paraId="18D7ED7A" w14:textId="6C147977" w:rsidR="00083B03" w:rsidRDefault="00083B03" w:rsidP="00172467"/>
    <w:p w14:paraId="6884BE71" w14:textId="40F1E8C9" w:rsidR="00083B03" w:rsidRDefault="00083B03" w:rsidP="00172467"/>
    <w:p w14:paraId="1B7C5025" w14:textId="431262D7" w:rsidR="00083B03" w:rsidRDefault="00083B03" w:rsidP="00172467"/>
    <w:p w14:paraId="3366B6A9" w14:textId="71873001" w:rsidR="00083B03" w:rsidRDefault="00083B03" w:rsidP="00172467"/>
    <w:p w14:paraId="6A49803C" w14:textId="389F7EC7" w:rsidR="00083B03" w:rsidRDefault="00083B03" w:rsidP="00172467"/>
    <w:p w14:paraId="59CF702F" w14:textId="5D04B62B" w:rsidR="00083B03" w:rsidRDefault="00083B03" w:rsidP="00172467"/>
    <w:p w14:paraId="18CD7FA4" w14:textId="35A9390F" w:rsidR="00083B03" w:rsidRDefault="00083B03" w:rsidP="00172467"/>
    <w:p w14:paraId="37FEC9F1" w14:textId="77777777" w:rsidR="00083B03" w:rsidRDefault="00083B03" w:rsidP="00172467"/>
    <w:p w14:paraId="6FA1B293" w14:textId="77777777" w:rsidR="00647072" w:rsidRPr="008B487E" w:rsidRDefault="00647072" w:rsidP="00172467"/>
    <w:p w14:paraId="294C91FD" w14:textId="07E04AA5" w:rsidR="00172467" w:rsidRPr="008B487E" w:rsidRDefault="00172467" w:rsidP="00172467">
      <w:r w:rsidRPr="008B487E">
        <w:t xml:space="preserve">Policy </w:t>
      </w:r>
      <w:r w:rsidR="007C0D3B">
        <w:t>Approved</w:t>
      </w:r>
      <w:r w:rsidRPr="008B487E">
        <w:t>:</w:t>
      </w:r>
      <w:r>
        <w:t xml:space="preserve">  </w:t>
      </w:r>
      <w:r w:rsidR="007C0D3B">
        <w:t xml:space="preserve">Finance Committee, </w:t>
      </w:r>
      <w:r w:rsidR="00083B03">
        <w:t>February 2020</w:t>
      </w:r>
    </w:p>
    <w:p w14:paraId="79894FA1" w14:textId="77777777" w:rsidR="007C0D3B" w:rsidRDefault="007C0D3B" w:rsidP="00172467">
      <w:pPr>
        <w:ind w:left="-600" w:firstLine="600"/>
      </w:pPr>
    </w:p>
    <w:p w14:paraId="34A8FFF4" w14:textId="0EA85FD2" w:rsidR="00426FB6" w:rsidRDefault="007F6DDF" w:rsidP="00172467">
      <w:pPr>
        <w:ind w:left="-600" w:firstLine="600"/>
      </w:pPr>
      <w:r>
        <w:t xml:space="preserve">Next </w:t>
      </w:r>
      <w:r w:rsidR="00172467" w:rsidRPr="008B487E">
        <w:t>Review date</w:t>
      </w:r>
      <w:r w:rsidR="009232CB">
        <w:t xml:space="preserve">:  </w:t>
      </w:r>
      <w:r w:rsidR="007C0D3B">
        <w:t xml:space="preserve">November </w:t>
      </w:r>
      <w:r w:rsidR="00075E55">
        <w:t>202</w:t>
      </w:r>
      <w:r w:rsidR="00083B03">
        <w:t>3</w:t>
      </w:r>
      <w:r w:rsidR="009232CB">
        <w:t>; Finance Committee</w:t>
      </w:r>
    </w:p>
    <w:p w14:paraId="526FF5BA" w14:textId="77777777" w:rsidR="007C0D3B" w:rsidRDefault="007C0D3B" w:rsidP="00172467">
      <w:pPr>
        <w:ind w:left="-600" w:firstLine="600"/>
      </w:pPr>
    </w:p>
    <w:p w14:paraId="2C32C25A" w14:textId="77777777" w:rsidR="007C0D3B" w:rsidRDefault="007C0D3B" w:rsidP="00172467">
      <w:pPr>
        <w:ind w:left="-600" w:firstLine="600"/>
      </w:pPr>
    </w:p>
    <w:p w14:paraId="6DE966CA" w14:textId="57B8129D" w:rsidR="006609C6" w:rsidRDefault="006609C6">
      <w:pPr>
        <w:ind w:left="-600" w:firstLine="600"/>
      </w:pPr>
    </w:p>
    <w:p w14:paraId="5E724CD4" w14:textId="0619D063" w:rsidR="00E0422B" w:rsidRDefault="00E0422B" w:rsidP="0086418B"/>
    <w:p w14:paraId="275C2A3A" w14:textId="459709A9" w:rsidR="00177CBF" w:rsidRDefault="00177CBF" w:rsidP="0086418B"/>
    <w:p w14:paraId="4E5A76E1" w14:textId="2ACE64A5" w:rsidR="00177CBF" w:rsidRDefault="00177CBF" w:rsidP="0086418B"/>
    <w:p w14:paraId="4AF7C9E2" w14:textId="75847B89" w:rsidR="00177CBF" w:rsidRDefault="00177CBF" w:rsidP="0086418B"/>
    <w:p w14:paraId="76843578" w14:textId="77777777" w:rsidR="00177CBF" w:rsidRDefault="00177CBF" w:rsidP="0086418B"/>
    <w:p w14:paraId="2EA11129" w14:textId="3CB87F07" w:rsidR="00E0422B" w:rsidRDefault="00E0422B" w:rsidP="0086418B"/>
    <w:p w14:paraId="0CEE166C" w14:textId="458396F5" w:rsidR="00E0422B" w:rsidRDefault="00E0422B" w:rsidP="0086418B"/>
    <w:p w14:paraId="64430DA4" w14:textId="77777777" w:rsidR="00E0422B" w:rsidRDefault="00E0422B" w:rsidP="0086418B"/>
    <w:p w14:paraId="645838BD" w14:textId="77777777" w:rsidR="00E0422B" w:rsidRDefault="00E0422B" w:rsidP="0086418B"/>
    <w:p w14:paraId="371EB711" w14:textId="16AAF8D8" w:rsidR="00E0422B" w:rsidRDefault="00E0422B" w:rsidP="0086418B">
      <w:r w:rsidRPr="00083B03">
        <w:rPr>
          <w:b/>
        </w:rPr>
        <w:t>References</w:t>
      </w:r>
      <w:r>
        <w:t xml:space="preserve">: </w:t>
      </w:r>
    </w:p>
    <w:p w14:paraId="424B0181" w14:textId="05B2CAE7" w:rsidR="00075E55" w:rsidRDefault="00075E55" w:rsidP="0086418B">
      <w:r>
        <w:t>Charging for school activities – Departmental advice for governing bodies, school leaders, school staff and local authorities.  Published in May 2018 by the DfE.  Ref: DFE-00244-2013</w:t>
      </w:r>
    </w:p>
    <w:p w14:paraId="3A7193DF" w14:textId="3EA592FB" w:rsidR="00075E55" w:rsidRDefault="00075E55">
      <w:pPr>
        <w:ind w:left="-600" w:firstLine="600"/>
      </w:pPr>
    </w:p>
    <w:p w14:paraId="6CDA4FC2" w14:textId="07EA24B5" w:rsidR="00E0422B" w:rsidRDefault="00E0422B" w:rsidP="00E0422B">
      <w:pPr>
        <w:ind w:left="-600" w:firstLine="600"/>
      </w:pPr>
      <w:r>
        <w:t xml:space="preserve">For information on hire of musical instruments from Hampshire Music Service </w:t>
      </w:r>
      <w:r w:rsidR="003E65FA">
        <w:t>–</w:t>
      </w:r>
      <w:r>
        <w:t xml:space="preserve"> </w:t>
      </w:r>
    </w:p>
    <w:p w14:paraId="144F0B0C" w14:textId="2E6B21FB" w:rsidR="003E65FA" w:rsidRDefault="00402D7E" w:rsidP="00E0422B">
      <w:pPr>
        <w:ind w:left="-600" w:firstLine="600"/>
      </w:pPr>
      <w:hyperlink r:id="rId7" w:tgtFrame="_blank" w:history="1">
        <w:r w:rsidR="003E65FA">
          <w:rPr>
            <w:rStyle w:val="Hyperlink"/>
            <w:rFonts w:ascii="Calibri" w:hAnsi="Calibri" w:cs="Calibri"/>
            <w:bdr w:val="none" w:sz="0" w:space="0" w:color="auto" w:frame="1"/>
            <w:shd w:val="clear" w:color="auto" w:fill="FFFFFF"/>
          </w:rPr>
          <w:t>https://www.hants.gov.uk/educationandlearning/hampshiremusic/instrumenthire</w:t>
        </w:r>
      </w:hyperlink>
      <w:r w:rsidR="003E65FA">
        <w:rPr>
          <w:rFonts w:ascii="Calibri" w:hAnsi="Calibri" w:cs="Calibri"/>
          <w:color w:val="4472C4"/>
          <w:shd w:val="clear" w:color="auto" w:fill="FFFFFF"/>
        </w:rPr>
        <w:t>.</w:t>
      </w:r>
    </w:p>
    <w:p w14:paraId="6C561193" w14:textId="2D6511A5" w:rsidR="00075E55" w:rsidRPr="0086418B" w:rsidRDefault="00075E55">
      <w:pPr>
        <w:ind w:left="-600" w:firstLine="600"/>
        <w:rPr>
          <w:sz w:val="16"/>
          <w:szCs w:val="16"/>
        </w:rPr>
      </w:pPr>
    </w:p>
    <w:sectPr w:rsidR="00075E55" w:rsidRPr="0086418B" w:rsidSect="0017246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77F1" w14:textId="77777777" w:rsidR="004C0445" w:rsidRDefault="004C0445">
      <w:r>
        <w:separator/>
      </w:r>
    </w:p>
  </w:endnote>
  <w:endnote w:type="continuationSeparator" w:id="0">
    <w:p w14:paraId="228466D2" w14:textId="77777777" w:rsidR="004C0445" w:rsidRDefault="004C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15ED" w14:textId="44C20280" w:rsidR="00E0422B" w:rsidRPr="0086418B" w:rsidRDefault="00E0422B" w:rsidP="0086418B">
    <w:pPr>
      <w:ind w:left="-600" w:firstLine="600"/>
      <w:rPr>
        <w:sz w:val="16"/>
        <w:szCs w:val="16"/>
      </w:rPr>
    </w:pPr>
    <w:r w:rsidRPr="00E77167">
      <w:rPr>
        <w:sz w:val="16"/>
        <w:szCs w:val="16"/>
      </w:rPr>
      <w:fldChar w:fldCharType="begin"/>
    </w:r>
    <w:r w:rsidRPr="00E77167">
      <w:rPr>
        <w:sz w:val="16"/>
        <w:szCs w:val="16"/>
      </w:rPr>
      <w:instrText xml:space="preserve"> FILENAME  \p  \* MERGEFORMAT </w:instrText>
    </w:r>
    <w:r w:rsidRPr="00E77167">
      <w:rPr>
        <w:sz w:val="16"/>
        <w:szCs w:val="16"/>
      </w:rPr>
      <w:fldChar w:fldCharType="separate"/>
    </w:r>
    <w:r w:rsidRPr="00E77167">
      <w:rPr>
        <w:noProof/>
        <w:sz w:val="16"/>
        <w:szCs w:val="16"/>
      </w:rPr>
      <w:t>H:\AdminPool\AEP Policies 2018 - 2019\AEP Charging Policy November 2019 draft.docx</w:t>
    </w:r>
    <w:r w:rsidRPr="00E7716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179C5" w14:textId="77777777" w:rsidR="004C0445" w:rsidRDefault="004C0445">
      <w:r>
        <w:separator/>
      </w:r>
    </w:p>
  </w:footnote>
  <w:footnote w:type="continuationSeparator" w:id="0">
    <w:p w14:paraId="3989D6F8" w14:textId="77777777" w:rsidR="004C0445" w:rsidRDefault="004C0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F23F" w14:textId="0F871461" w:rsidR="002F0017" w:rsidRDefault="00923584" w:rsidP="0063280C">
    <w:pPr>
      <w:pStyle w:val="Header"/>
      <w:ind w:left="-480"/>
    </w:pPr>
    <w:r>
      <w:rPr>
        <w:noProof/>
      </w:rPr>
      <mc:AlternateContent>
        <mc:Choice Requires="wpc">
          <w:drawing>
            <wp:inline distT="0" distB="0" distL="0" distR="0" wp14:anchorId="5954A70B" wp14:editId="15DB0CCF">
              <wp:extent cx="6781800" cy="9144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0" y="0"/>
                          <a:ext cx="678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8"/>
                              <w:gridCol w:w="1946"/>
                            </w:tblGrid>
                            <w:tr w:rsidR="002F0017" w14:paraId="11FAAA9C" w14:textId="77777777" w:rsidTr="0086418B">
                              <w:trPr>
                                <w:trHeight w:val="1108"/>
                              </w:trPr>
                              <w:tc>
                                <w:tcPr>
                                  <w:tcW w:w="7098" w:type="dxa"/>
                                  <w:shd w:val="clear" w:color="auto" w:fill="auto"/>
                                  <w:vAlign w:val="center"/>
                                </w:tcPr>
                                <w:p w14:paraId="5377551E" w14:textId="77777777" w:rsidR="002F0017" w:rsidRPr="00F67CDA" w:rsidRDefault="002F0017" w:rsidP="00F67CDA">
                                  <w:pPr>
                                    <w:jc w:val="center"/>
                                    <w:rPr>
                                      <w:rFonts w:eastAsia="SimSun"/>
                                      <w:b/>
                                      <w:bCs/>
                                    </w:rPr>
                                  </w:pPr>
                                  <w:r w:rsidRPr="00F67CDA">
                                    <w:rPr>
                                      <w:rFonts w:eastAsia="SimSun"/>
                                      <w:b/>
                                      <w:bCs/>
                                    </w:rPr>
                                    <w:t>Andrews’ Endowed Church of England Primary School</w:t>
                                  </w:r>
                                </w:p>
                                <w:p w14:paraId="24094B1F" w14:textId="77777777" w:rsidR="002F0017" w:rsidRPr="00F67CDA" w:rsidRDefault="002F0017" w:rsidP="00F67CDA">
                                  <w:pPr>
                                    <w:jc w:val="center"/>
                                    <w:rPr>
                                      <w:rFonts w:eastAsia="SimSun"/>
                                      <w:b/>
                                      <w:bCs/>
                                    </w:rPr>
                                  </w:pPr>
                                </w:p>
                                <w:p w14:paraId="1393BB55" w14:textId="77777777" w:rsidR="002F0017" w:rsidRPr="00F67CDA" w:rsidRDefault="00E66E26" w:rsidP="00F67CDA">
                                  <w:pPr>
                                    <w:jc w:val="center"/>
                                    <w:rPr>
                                      <w:rFonts w:eastAsia="SimSun"/>
                                      <w:b/>
                                      <w:color w:val="000000"/>
                                    </w:rPr>
                                  </w:pPr>
                                  <w:r w:rsidRPr="00F67CDA">
                                    <w:rPr>
                                      <w:rFonts w:eastAsia="SimSun"/>
                                      <w:b/>
                                      <w:color w:val="000000"/>
                                    </w:rPr>
                                    <w:t xml:space="preserve"> CHARGING POLICY</w:t>
                                  </w:r>
                                </w:p>
                                <w:p w14:paraId="258661E7" w14:textId="21613DFF" w:rsidR="002F0017" w:rsidRPr="00F67CDA" w:rsidRDefault="002F0017" w:rsidP="00175F26">
                                  <w:pPr>
                                    <w:jc w:val="right"/>
                                    <w:rPr>
                                      <w:rFonts w:eastAsia="SimSun"/>
                                      <w:b/>
                                      <w:bCs/>
                                      <w:sz w:val="16"/>
                                      <w:szCs w:val="16"/>
                                    </w:rPr>
                                  </w:pPr>
                                  <w:r w:rsidRPr="00F67CDA">
                                    <w:rPr>
                                      <w:rFonts w:eastAsia="SimSun"/>
                                      <w:color w:val="000000"/>
                                      <w:sz w:val="16"/>
                                      <w:szCs w:val="16"/>
                                    </w:rPr>
                                    <w:t>p</w:t>
                                  </w:r>
                                  <w:r w:rsidRPr="00F67CDA">
                                    <w:rPr>
                                      <w:rStyle w:val="PageNumber"/>
                                      <w:rFonts w:eastAsia="SimSun"/>
                                      <w:sz w:val="16"/>
                                      <w:szCs w:val="16"/>
                                    </w:rPr>
                                    <w:fldChar w:fldCharType="begin"/>
                                  </w:r>
                                  <w:r w:rsidRPr="00F67CDA">
                                    <w:rPr>
                                      <w:rStyle w:val="PageNumber"/>
                                      <w:rFonts w:eastAsia="SimSun"/>
                                      <w:sz w:val="16"/>
                                      <w:szCs w:val="16"/>
                                    </w:rPr>
                                    <w:instrText xml:space="preserve"> PAGE </w:instrText>
                                  </w:r>
                                  <w:r w:rsidRPr="00F67CDA">
                                    <w:rPr>
                                      <w:rStyle w:val="PageNumber"/>
                                      <w:rFonts w:eastAsia="SimSun"/>
                                      <w:sz w:val="16"/>
                                      <w:szCs w:val="16"/>
                                    </w:rPr>
                                    <w:fldChar w:fldCharType="separate"/>
                                  </w:r>
                                  <w:r w:rsidR="00402D7E">
                                    <w:rPr>
                                      <w:rStyle w:val="PageNumber"/>
                                      <w:rFonts w:eastAsia="SimSun"/>
                                      <w:noProof/>
                                      <w:sz w:val="16"/>
                                      <w:szCs w:val="16"/>
                                    </w:rPr>
                                    <w:t>4</w:t>
                                  </w:r>
                                  <w:r w:rsidRPr="00F67CDA">
                                    <w:rPr>
                                      <w:rStyle w:val="PageNumber"/>
                                      <w:rFonts w:eastAsia="SimSun"/>
                                      <w:sz w:val="16"/>
                                      <w:szCs w:val="16"/>
                                    </w:rPr>
                                    <w:fldChar w:fldCharType="end"/>
                                  </w:r>
                                  <w:r w:rsidRPr="00F67CDA">
                                    <w:rPr>
                                      <w:rStyle w:val="PageNumber"/>
                                      <w:rFonts w:eastAsia="SimSun"/>
                                      <w:sz w:val="16"/>
                                      <w:szCs w:val="16"/>
                                    </w:rPr>
                                    <w:t>/</w:t>
                                  </w:r>
                                  <w:r w:rsidR="00175F26">
                                    <w:rPr>
                                      <w:rStyle w:val="PageNumber"/>
                                      <w:rFonts w:eastAsia="SimSun"/>
                                      <w:sz w:val="16"/>
                                      <w:szCs w:val="16"/>
                                    </w:rPr>
                                    <w:t>4</w:t>
                                  </w:r>
                                </w:p>
                              </w:tc>
                              <w:tc>
                                <w:tcPr>
                                  <w:tcW w:w="1946" w:type="dxa"/>
                                  <w:shd w:val="clear" w:color="auto" w:fill="auto"/>
                                  <w:vAlign w:val="center"/>
                                </w:tcPr>
                                <w:p w14:paraId="2F66B356" w14:textId="4996198A" w:rsidR="002F0017" w:rsidRPr="00F67CDA" w:rsidRDefault="002F0017" w:rsidP="00CB58CC">
                                  <w:pPr>
                                    <w:rPr>
                                      <w:rFonts w:eastAsia="SimSun"/>
                                    </w:rPr>
                                  </w:pPr>
                                  <w:r w:rsidRPr="00F67CDA">
                                    <w:rPr>
                                      <w:rFonts w:eastAsia="SimSun"/>
                                    </w:rPr>
                                    <w:t xml:space="preserve"> </w:t>
                                  </w:r>
                                  <w:r w:rsidR="00923584">
                                    <w:rPr>
                                      <w:rFonts w:eastAsia="SimSun"/>
                                      <w:noProof/>
                                    </w:rPr>
                                    <w:drawing>
                                      <wp:inline distT="0" distB="0" distL="0" distR="0" wp14:anchorId="6A74CD62" wp14:editId="308A6D76">
                                        <wp:extent cx="1047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66750"/>
                                                </a:xfrm>
                                                <a:prstGeom prst="rect">
                                                  <a:avLst/>
                                                </a:prstGeom>
                                                <a:noFill/>
                                                <a:ln>
                                                  <a:noFill/>
                                                </a:ln>
                                              </pic:spPr>
                                            </pic:pic>
                                          </a:graphicData>
                                        </a:graphic>
                                      </wp:inline>
                                    </w:drawing>
                                  </w:r>
                                </w:p>
                              </w:tc>
                            </w:tr>
                          </w:tbl>
                          <w:p w14:paraId="586FD745" w14:textId="77777777" w:rsidR="002F0017" w:rsidRPr="00D63B0E" w:rsidRDefault="002F0017" w:rsidP="0063280C"/>
                        </w:txbxContent>
                      </wps:txbx>
                      <wps:bodyPr rot="0" vert="horz" wrap="square" lIns="91440" tIns="45720" rIns="91440" bIns="45720" anchor="t" anchorCtr="0" upright="1">
                        <a:noAutofit/>
                      </wps:bodyPr>
                    </wps:wsp>
                  </wpc:wpc>
                </a:graphicData>
              </a:graphic>
            </wp:inline>
          </w:drawing>
        </mc:Choice>
        <mc:Fallback>
          <w:pict>
            <v:group w14:anchorId="5954A70B" id="Canvas 4" o:spid="_x0000_s1026" editas="canvas" style="width:534pt;height:1in;mso-position-horizontal-relative:char;mso-position-vertical-relative:line" coordsize="6781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818;height:9144;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width:6781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tbl>
                      <w:tblPr>
                        <w:tblW w:w="90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8"/>
                        <w:gridCol w:w="1946"/>
                      </w:tblGrid>
                      <w:tr w:rsidR="002F0017" w14:paraId="11FAAA9C" w14:textId="77777777" w:rsidTr="0086418B">
                        <w:trPr>
                          <w:trHeight w:val="1108"/>
                        </w:trPr>
                        <w:tc>
                          <w:tcPr>
                            <w:tcW w:w="7098" w:type="dxa"/>
                            <w:shd w:val="clear" w:color="auto" w:fill="auto"/>
                            <w:vAlign w:val="center"/>
                          </w:tcPr>
                          <w:p w14:paraId="5377551E" w14:textId="77777777" w:rsidR="002F0017" w:rsidRPr="00F67CDA" w:rsidRDefault="002F0017" w:rsidP="00F67CDA">
                            <w:pPr>
                              <w:jc w:val="center"/>
                              <w:rPr>
                                <w:rFonts w:eastAsia="SimSun"/>
                                <w:b/>
                                <w:bCs/>
                              </w:rPr>
                            </w:pPr>
                            <w:r w:rsidRPr="00F67CDA">
                              <w:rPr>
                                <w:rFonts w:eastAsia="SimSun"/>
                                <w:b/>
                                <w:bCs/>
                              </w:rPr>
                              <w:t>Andrews’ Endowed Church of England Primary School</w:t>
                            </w:r>
                          </w:p>
                          <w:p w14:paraId="24094B1F" w14:textId="77777777" w:rsidR="002F0017" w:rsidRPr="00F67CDA" w:rsidRDefault="002F0017" w:rsidP="00F67CDA">
                            <w:pPr>
                              <w:jc w:val="center"/>
                              <w:rPr>
                                <w:rFonts w:eastAsia="SimSun"/>
                                <w:b/>
                                <w:bCs/>
                              </w:rPr>
                            </w:pPr>
                          </w:p>
                          <w:p w14:paraId="1393BB55" w14:textId="77777777" w:rsidR="002F0017" w:rsidRPr="00F67CDA" w:rsidRDefault="00E66E26" w:rsidP="00F67CDA">
                            <w:pPr>
                              <w:jc w:val="center"/>
                              <w:rPr>
                                <w:rFonts w:eastAsia="SimSun"/>
                                <w:b/>
                                <w:color w:val="000000"/>
                              </w:rPr>
                            </w:pPr>
                            <w:r w:rsidRPr="00F67CDA">
                              <w:rPr>
                                <w:rFonts w:eastAsia="SimSun"/>
                                <w:b/>
                                <w:color w:val="000000"/>
                              </w:rPr>
                              <w:t xml:space="preserve"> CHARGING POLICY</w:t>
                            </w:r>
                          </w:p>
                          <w:p w14:paraId="258661E7" w14:textId="21613DFF" w:rsidR="002F0017" w:rsidRPr="00F67CDA" w:rsidRDefault="002F0017" w:rsidP="00175F26">
                            <w:pPr>
                              <w:jc w:val="right"/>
                              <w:rPr>
                                <w:rFonts w:eastAsia="SimSun"/>
                                <w:b/>
                                <w:bCs/>
                                <w:sz w:val="16"/>
                                <w:szCs w:val="16"/>
                              </w:rPr>
                            </w:pPr>
                            <w:r w:rsidRPr="00F67CDA">
                              <w:rPr>
                                <w:rFonts w:eastAsia="SimSun"/>
                                <w:color w:val="000000"/>
                                <w:sz w:val="16"/>
                                <w:szCs w:val="16"/>
                              </w:rPr>
                              <w:t>p</w:t>
                            </w:r>
                            <w:r w:rsidRPr="00F67CDA">
                              <w:rPr>
                                <w:rStyle w:val="PageNumber"/>
                                <w:rFonts w:eastAsia="SimSun"/>
                                <w:sz w:val="16"/>
                                <w:szCs w:val="16"/>
                              </w:rPr>
                              <w:fldChar w:fldCharType="begin"/>
                            </w:r>
                            <w:r w:rsidRPr="00F67CDA">
                              <w:rPr>
                                <w:rStyle w:val="PageNumber"/>
                                <w:rFonts w:eastAsia="SimSun"/>
                                <w:sz w:val="16"/>
                                <w:szCs w:val="16"/>
                              </w:rPr>
                              <w:instrText xml:space="preserve"> PAGE </w:instrText>
                            </w:r>
                            <w:r w:rsidRPr="00F67CDA">
                              <w:rPr>
                                <w:rStyle w:val="PageNumber"/>
                                <w:rFonts w:eastAsia="SimSun"/>
                                <w:sz w:val="16"/>
                                <w:szCs w:val="16"/>
                              </w:rPr>
                              <w:fldChar w:fldCharType="separate"/>
                            </w:r>
                            <w:r w:rsidR="00402D7E">
                              <w:rPr>
                                <w:rStyle w:val="PageNumber"/>
                                <w:rFonts w:eastAsia="SimSun"/>
                                <w:noProof/>
                                <w:sz w:val="16"/>
                                <w:szCs w:val="16"/>
                              </w:rPr>
                              <w:t>4</w:t>
                            </w:r>
                            <w:r w:rsidRPr="00F67CDA">
                              <w:rPr>
                                <w:rStyle w:val="PageNumber"/>
                                <w:rFonts w:eastAsia="SimSun"/>
                                <w:sz w:val="16"/>
                                <w:szCs w:val="16"/>
                              </w:rPr>
                              <w:fldChar w:fldCharType="end"/>
                            </w:r>
                            <w:r w:rsidRPr="00F67CDA">
                              <w:rPr>
                                <w:rStyle w:val="PageNumber"/>
                                <w:rFonts w:eastAsia="SimSun"/>
                                <w:sz w:val="16"/>
                                <w:szCs w:val="16"/>
                              </w:rPr>
                              <w:t>/</w:t>
                            </w:r>
                            <w:r w:rsidR="00175F26">
                              <w:rPr>
                                <w:rStyle w:val="PageNumber"/>
                                <w:rFonts w:eastAsia="SimSun"/>
                                <w:sz w:val="16"/>
                                <w:szCs w:val="16"/>
                              </w:rPr>
                              <w:t>4</w:t>
                            </w:r>
                          </w:p>
                        </w:tc>
                        <w:tc>
                          <w:tcPr>
                            <w:tcW w:w="1946" w:type="dxa"/>
                            <w:shd w:val="clear" w:color="auto" w:fill="auto"/>
                            <w:vAlign w:val="center"/>
                          </w:tcPr>
                          <w:p w14:paraId="2F66B356" w14:textId="4996198A" w:rsidR="002F0017" w:rsidRPr="00F67CDA" w:rsidRDefault="002F0017" w:rsidP="00CB58CC">
                            <w:pPr>
                              <w:rPr>
                                <w:rFonts w:eastAsia="SimSun"/>
                              </w:rPr>
                            </w:pPr>
                            <w:r w:rsidRPr="00F67CDA">
                              <w:rPr>
                                <w:rFonts w:eastAsia="SimSun"/>
                              </w:rPr>
                              <w:t xml:space="preserve"> </w:t>
                            </w:r>
                            <w:r w:rsidR="00923584">
                              <w:rPr>
                                <w:rFonts w:eastAsia="SimSun"/>
                                <w:noProof/>
                              </w:rPr>
                              <w:drawing>
                                <wp:inline distT="0" distB="0" distL="0" distR="0" wp14:anchorId="6A74CD62" wp14:editId="308A6D76">
                                  <wp:extent cx="1047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66750"/>
                                          </a:xfrm>
                                          <a:prstGeom prst="rect">
                                            <a:avLst/>
                                          </a:prstGeom>
                                          <a:noFill/>
                                          <a:ln>
                                            <a:noFill/>
                                          </a:ln>
                                        </pic:spPr>
                                      </pic:pic>
                                    </a:graphicData>
                                  </a:graphic>
                                </wp:inline>
                              </w:drawing>
                            </w:r>
                          </w:p>
                        </w:tc>
                      </w:tr>
                    </w:tbl>
                    <w:p w14:paraId="586FD745" w14:textId="77777777" w:rsidR="002F0017" w:rsidRPr="00D63B0E" w:rsidRDefault="002F0017" w:rsidP="0063280C"/>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DEB"/>
    <w:multiLevelType w:val="hybridMultilevel"/>
    <w:tmpl w:val="B6BE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638C8"/>
    <w:multiLevelType w:val="hybridMultilevel"/>
    <w:tmpl w:val="3124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97124"/>
    <w:multiLevelType w:val="hybridMultilevel"/>
    <w:tmpl w:val="94AA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F1537"/>
    <w:multiLevelType w:val="hybridMultilevel"/>
    <w:tmpl w:val="16B0A6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30EA5"/>
    <w:multiLevelType w:val="multilevel"/>
    <w:tmpl w:val="F37C8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74F0CD6"/>
    <w:multiLevelType w:val="hybridMultilevel"/>
    <w:tmpl w:val="2C981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BC4130"/>
    <w:multiLevelType w:val="hybridMultilevel"/>
    <w:tmpl w:val="112079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A1526E"/>
    <w:multiLevelType w:val="hybridMultilevel"/>
    <w:tmpl w:val="3DD6B8C8"/>
    <w:lvl w:ilvl="0" w:tplc="9F38B376">
      <w:numFmt w:val="bullet"/>
      <w:lvlText w:val="-"/>
      <w:lvlJc w:val="left"/>
      <w:pPr>
        <w:tabs>
          <w:tab w:val="num" w:pos="720"/>
        </w:tabs>
        <w:ind w:left="720" w:hanging="360"/>
      </w:pPr>
      <w:rPr>
        <w:rFonts w:ascii="Calibri" w:eastAsia="Times New Roman" w:hAnsi="Calibri"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712F7"/>
    <w:multiLevelType w:val="hybridMultilevel"/>
    <w:tmpl w:val="5E6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B01E6"/>
    <w:multiLevelType w:val="multilevel"/>
    <w:tmpl w:val="E60A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1080C"/>
    <w:multiLevelType w:val="multilevel"/>
    <w:tmpl w:val="A92EC1CC"/>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num w:numId="1">
    <w:abstractNumId w:val="7"/>
  </w:num>
  <w:num w:numId="2">
    <w:abstractNumId w:val="6"/>
  </w:num>
  <w:num w:numId="3">
    <w:abstractNumId w:val="2"/>
  </w:num>
  <w:num w:numId="4">
    <w:abstractNumId w:val="0"/>
  </w:num>
  <w:num w:numId="5">
    <w:abstractNumId w:val="8"/>
  </w:num>
  <w:num w:numId="6">
    <w:abstractNumId w:val="4"/>
  </w:num>
  <w:num w:numId="7">
    <w:abstractNumId w:val="10"/>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0C"/>
    <w:rsid w:val="000200E8"/>
    <w:rsid w:val="00040332"/>
    <w:rsid w:val="00075E55"/>
    <w:rsid w:val="00083B03"/>
    <w:rsid w:val="000C420E"/>
    <w:rsid w:val="00103E40"/>
    <w:rsid w:val="00172467"/>
    <w:rsid w:val="00175F26"/>
    <w:rsid w:val="00177607"/>
    <w:rsid w:val="00177CBF"/>
    <w:rsid w:val="001F0970"/>
    <w:rsid w:val="00252CBE"/>
    <w:rsid w:val="002F0017"/>
    <w:rsid w:val="003205FC"/>
    <w:rsid w:val="003E65FA"/>
    <w:rsid w:val="00402D7E"/>
    <w:rsid w:val="00426FB6"/>
    <w:rsid w:val="00447D9D"/>
    <w:rsid w:val="004C0445"/>
    <w:rsid w:val="00514790"/>
    <w:rsid w:val="00533E50"/>
    <w:rsid w:val="005D2DFF"/>
    <w:rsid w:val="005F4BE0"/>
    <w:rsid w:val="006172E0"/>
    <w:rsid w:val="0063280C"/>
    <w:rsid w:val="00642C8D"/>
    <w:rsid w:val="00647072"/>
    <w:rsid w:val="006609C6"/>
    <w:rsid w:val="00665D24"/>
    <w:rsid w:val="006705A5"/>
    <w:rsid w:val="00685090"/>
    <w:rsid w:val="007C0D3B"/>
    <w:rsid w:val="007D6310"/>
    <w:rsid w:val="007F6DDF"/>
    <w:rsid w:val="0084495A"/>
    <w:rsid w:val="0086418B"/>
    <w:rsid w:val="00882C09"/>
    <w:rsid w:val="008C1257"/>
    <w:rsid w:val="00911D48"/>
    <w:rsid w:val="009232CB"/>
    <w:rsid w:val="00923584"/>
    <w:rsid w:val="00951083"/>
    <w:rsid w:val="009E008D"/>
    <w:rsid w:val="00A04F91"/>
    <w:rsid w:val="00A65FD9"/>
    <w:rsid w:val="00AB59FB"/>
    <w:rsid w:val="00C804EE"/>
    <w:rsid w:val="00CB58CC"/>
    <w:rsid w:val="00D64261"/>
    <w:rsid w:val="00E0422B"/>
    <w:rsid w:val="00E52C2C"/>
    <w:rsid w:val="00E66E26"/>
    <w:rsid w:val="00F24E56"/>
    <w:rsid w:val="00F67CDA"/>
    <w:rsid w:val="00FC1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FB09C8"/>
  <w15:docId w15:val="{45C721AA-4CF6-4CAB-AB93-4C4FB5A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8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280C"/>
  </w:style>
  <w:style w:type="paragraph" w:styleId="Header">
    <w:name w:val="header"/>
    <w:basedOn w:val="Normal"/>
    <w:rsid w:val="0063280C"/>
    <w:pPr>
      <w:tabs>
        <w:tab w:val="center" w:pos="4153"/>
        <w:tab w:val="right" w:pos="8306"/>
      </w:tabs>
    </w:pPr>
  </w:style>
  <w:style w:type="paragraph" w:styleId="Footer">
    <w:name w:val="footer"/>
    <w:basedOn w:val="Normal"/>
    <w:rsid w:val="0063280C"/>
    <w:pPr>
      <w:tabs>
        <w:tab w:val="center" w:pos="4153"/>
        <w:tab w:val="right" w:pos="8306"/>
      </w:tabs>
    </w:pPr>
  </w:style>
  <w:style w:type="paragraph" w:customStyle="1" w:styleId="Default">
    <w:name w:val="Default"/>
    <w:rsid w:val="007D631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882C09"/>
    <w:rPr>
      <w:rFonts w:ascii="Tahoma" w:hAnsi="Tahoma" w:cs="Tahoma"/>
      <w:sz w:val="16"/>
      <w:szCs w:val="16"/>
    </w:rPr>
  </w:style>
  <w:style w:type="character" w:customStyle="1" w:styleId="BalloonTextChar">
    <w:name w:val="Balloon Text Char"/>
    <w:basedOn w:val="DefaultParagraphFont"/>
    <w:link w:val="BalloonText"/>
    <w:rsid w:val="00882C09"/>
    <w:rPr>
      <w:rFonts w:ascii="Tahoma" w:hAnsi="Tahoma" w:cs="Tahoma"/>
      <w:sz w:val="16"/>
      <w:szCs w:val="16"/>
    </w:rPr>
  </w:style>
  <w:style w:type="character" w:styleId="CommentReference">
    <w:name w:val="annotation reference"/>
    <w:basedOn w:val="DefaultParagraphFont"/>
    <w:rsid w:val="00882C09"/>
    <w:rPr>
      <w:sz w:val="16"/>
      <w:szCs w:val="16"/>
    </w:rPr>
  </w:style>
  <w:style w:type="paragraph" w:styleId="CommentText">
    <w:name w:val="annotation text"/>
    <w:basedOn w:val="Normal"/>
    <w:link w:val="CommentTextChar"/>
    <w:rsid w:val="00882C09"/>
    <w:rPr>
      <w:sz w:val="20"/>
      <w:szCs w:val="20"/>
    </w:rPr>
  </w:style>
  <w:style w:type="character" w:customStyle="1" w:styleId="CommentTextChar">
    <w:name w:val="Comment Text Char"/>
    <w:basedOn w:val="DefaultParagraphFont"/>
    <w:link w:val="CommentText"/>
    <w:rsid w:val="00882C09"/>
    <w:rPr>
      <w:rFonts w:ascii="Arial" w:hAnsi="Arial" w:cs="Arial"/>
    </w:rPr>
  </w:style>
  <w:style w:type="paragraph" w:styleId="CommentSubject">
    <w:name w:val="annotation subject"/>
    <w:basedOn w:val="CommentText"/>
    <w:next w:val="CommentText"/>
    <w:link w:val="CommentSubjectChar"/>
    <w:rsid w:val="00882C09"/>
    <w:rPr>
      <w:b/>
      <w:bCs/>
    </w:rPr>
  </w:style>
  <w:style w:type="character" w:customStyle="1" w:styleId="CommentSubjectChar">
    <w:name w:val="Comment Subject Char"/>
    <w:basedOn w:val="CommentTextChar"/>
    <w:link w:val="CommentSubject"/>
    <w:rsid w:val="00882C09"/>
    <w:rPr>
      <w:rFonts w:ascii="Arial" w:hAnsi="Arial" w:cs="Arial"/>
      <w:b/>
      <w:bCs/>
    </w:rPr>
  </w:style>
  <w:style w:type="paragraph" w:styleId="NormalWeb">
    <w:name w:val="Normal (Web)"/>
    <w:basedOn w:val="Normal"/>
    <w:uiPriority w:val="99"/>
    <w:semiHidden/>
    <w:unhideWhenUsed/>
    <w:rsid w:val="006609C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205FC"/>
    <w:rPr>
      <w:color w:val="0000FF"/>
      <w:u w:val="single"/>
    </w:rPr>
  </w:style>
  <w:style w:type="paragraph" w:styleId="ListParagraph">
    <w:name w:val="List Paragraph"/>
    <w:basedOn w:val="Normal"/>
    <w:uiPriority w:val="34"/>
    <w:qFormat/>
    <w:rsid w:val="00E0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5989">
      <w:bodyDiv w:val="1"/>
      <w:marLeft w:val="0"/>
      <w:marRight w:val="0"/>
      <w:marTop w:val="0"/>
      <w:marBottom w:val="0"/>
      <w:divBdr>
        <w:top w:val="none" w:sz="0" w:space="0" w:color="auto"/>
        <w:left w:val="none" w:sz="0" w:space="0" w:color="auto"/>
        <w:bottom w:val="none" w:sz="0" w:space="0" w:color="auto"/>
        <w:right w:val="none" w:sz="0" w:space="0" w:color="auto"/>
      </w:divBdr>
    </w:div>
    <w:div w:id="21389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nts.gov.uk/educationandlearning/hampshiremusic/instrumenth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ANDREWS ENDOWED CHURCH OF ENGLAND PRIMARY SCHOOL</vt:lpstr>
    </vt:vector>
  </TitlesOfParts>
  <Company>Andrews Endowed Primary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ANDREWS ENDOWED CHURCH OF ENGLAND PRIMARY SCHOOL</dc:title>
  <dc:creator>maria.lloyd</dc:creator>
  <cp:lastModifiedBy>Clare Allen</cp:lastModifiedBy>
  <cp:revision>2</cp:revision>
  <cp:lastPrinted>2016-11-07T14:48:00Z</cp:lastPrinted>
  <dcterms:created xsi:type="dcterms:W3CDTF">2020-03-10T08:49:00Z</dcterms:created>
  <dcterms:modified xsi:type="dcterms:W3CDTF">2020-03-10T08:49:00Z</dcterms:modified>
</cp:coreProperties>
</file>